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bookmarkStart w:id="0" w:name="_GoBack"/>
      <w:bookmarkEnd w:id="0"/>
      <w:r w:rsidRPr="00B7438A">
        <w:rPr>
          <w:rFonts w:ascii="Arial" w:eastAsia="Times New Roman" w:hAnsi="Arial" w:cs="Arial"/>
          <w:b/>
          <w:bCs/>
          <w:i/>
          <w:iCs/>
          <w:color w:val="212121"/>
          <w:lang w:eastAsia="hr-HR"/>
        </w:rPr>
        <w:t>4.2.3.   Određivanje visine jamstvene svote bankovne garancije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           </w:t>
      </w:r>
      <w:r w:rsidRPr="00B7438A">
        <w:rPr>
          <w:rFonts w:ascii="Arial" w:eastAsia="Times New Roman" w:hAnsi="Arial" w:cs="Arial"/>
          <w:b/>
          <w:bCs/>
          <w:i/>
          <w:iCs/>
          <w:color w:val="212121"/>
          <w:lang w:eastAsia="hr-HR"/>
        </w:rPr>
        <w:t>Općenito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sz w:val="24"/>
          <w:szCs w:val="24"/>
          <w:lang w:eastAsia="hr-HR"/>
        </w:rPr>
        <w:t>            </w:t>
      </w:r>
      <w:r w:rsidRPr="00B7438A">
        <w:rPr>
          <w:rFonts w:ascii="Arial" w:eastAsia="Times New Roman" w:hAnsi="Arial" w:cs="Arial"/>
          <w:color w:val="212121"/>
          <w:lang w:eastAsia="hr-HR"/>
        </w:rPr>
        <w:t>Iznos jamstvene svote bankovne garancije ni u kojem slučaju ne može biti niži od 60.000,00 kuna.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firstLine="709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U postupku određivanja visine jamstvene svote bankovne garancije nadležni carinski ured u svakom slučaju obavezno zahtijeva prilaganje podataka o bonitetu i solventnosti nalogodavca za izdavanje bankovne garancije (BON-1 i BON-2/SOL-2 ne stariji od mjesec dana).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           Iznimno, prilaganje obrasca BON-1 neće se zahtijevati od osoba koje po propisima o računovodstvu nisu dužne sastavljati financijske izvještaje (npr. obrtnici, osobe slobodnih zanimanja, obiteljska poljoprivredna gospodarstva i dr.) te će se od tih osoba zahtijevati prilaganje: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lang w:eastAsia="hr-HR"/>
        </w:rPr>
        <w:t></w:t>
      </w:r>
      <w:r w:rsidRPr="00B7438A">
        <w:rPr>
          <w:rFonts w:ascii="Symbol" w:eastAsia="Times New Roman" w:hAnsi="Symbol" w:cs="Times New Roman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bCs/>
          <w:lang w:eastAsia="hr-HR"/>
        </w:rPr>
        <w:t>potvrde o visini dohotka koju izdaje Porezna uprava,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b/>
          <w:bCs/>
          <w:color w:val="FF0000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pregleda primitaka i izdataka za prethodnu godinu ili, iznimno, izlista prometa poslovnog računa (žiro računa) u prethodnom 12 mjesečnom razdoblju.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           Visinu jamstvene svote u bankovnoj garanciji određuje nadležni carinski ured u svoti koja namirenje duga u svakome trenutku čini sigurnim, vodeći računa o: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vrsti, odnosno osjetljivosti trošarinskih proizvoda,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vrsti trošarinskog skladišta,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ugledu, pouzdanosti i financijskoj stabilnosti nalogodavca za izdavanje garancije,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opsegu poslovanja nalogodavca za izdavanje garancije s trošarinskim proizvodima,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vremenu trajanja proizvodnje ili skladištenja,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vrsti, sadržaju i načinu vođenja evidencije i knjigovodstvene dokumentacije,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nadzoru u trošarinskom skladištu,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dosadašnjem poslovanju nalogodavca za izdavanje garancije s trošarinskim proizvodima,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iznosu mogućeg trošarinskog duga tijekom kretanja trošarinskih proizvoda.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           Visinu jamstvene svote bankovne garancije za nalogodavca za izdavanje garancije koji započinje poslovnu djelatnost s trošarinskim proizvodima određuje se na temelju opsega očekivanog prometa, odnosno proizvodnje i skladištenja trošarinskih proizvoda i odnosnog očitovanja trošarinskog obveznika o navedenom.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           Kod određivanja visine jamstvene svote bankovne garancije nadležni carinski ured, između ostaloga, posebno uzima u obzir podatke i o: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količini trošarinskih proizvoda koji se proizvode, skladište te primaju i otpremaju,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lastRenderedPageBreak/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s time u vezi, između ostaloga, iznosu mogućeg trošarinskog duga (za trošarinske proizvode koji se otpremaju iz trošarinskog skladišta u sustavu odgode plaćanja trošarine),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iznosu mogućeg trošarinskog duga u razdoblju od najmanje jednog kalendarskog mjeseca (temeljem prosječno iskazanih pokazatelja iz prethodnog jednogodišnjeg razdoblja i uvažavajući eventualni sezonski karakter poslovanja),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bonitetu i solventnosti nalogodavca za izdavanje bankovne garancije te općenito svim dostupnim pokazateljima financijske stabilnosti nalogodavca, odnosno trošarinskog obveznika,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kršenju trošarinskih, carinskih i poreznih propisa, te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druge relevantne podatke (okolnosti bilo kojeg karaktera koje indiciraju rizik prema Uputi za provedbu analize rizika u sustavu kontrole kretanja trošarinskih proizvoda i dr.).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           Carinski ured će kod utvrđivanja visine jamstvene svote instrumenta osiguranja primijeniti stroži kriterij od uobičajenog i visinu jamstvene svote odgovarajuće prilagoditi utvrđenju navedenih okolnosti: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ako se prema Uputi za provedbu analize rizika u sustavu kontrole kretanja trošarinskih proizvoda utvrde okolnosti koje indiciraju rizik,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ako su pokazatelji financijske stabilnosti, zaduženosti i likvidnosti iz obrasca BON-1 (C. Pokazatelji financijske stabilnosti, zaduženosti i likvidnosti) u zadnjoj prikazanoj godini ispod optimalnog koeficijenta, udjela, odnosno granične mjere sukladno Objašnjenjima pokazatelja poslovanja iz informacije o bonitetu BON-1 u najmanje 3 od sljedećih 5 pokazatelja: C.1., C.2., C.3., C.5. te D.1. (D. Pokazatelji poslovne uspješnosti) (dostupno na internetskim stranicama Financijske agencije, i to na linku:  </w:t>
      </w:r>
      <w:hyperlink r:id="rId4" w:tgtFrame="_blank" w:history="1">
        <w:r w:rsidRPr="00B7438A">
          <w:rPr>
            <w:rFonts w:ascii="Arial" w:eastAsia="Times New Roman" w:hAnsi="Arial" w:cs="Arial"/>
            <w:color w:val="0000FF"/>
            <w:u w:val="single"/>
            <w:lang w:eastAsia="hr-HR"/>
          </w:rPr>
          <w:t>http://www.fina.hr/Default.aspx?sec=1278</w:t>
        </w:r>
      </w:hyperlink>
      <w:r w:rsidRPr="00B7438A">
        <w:rPr>
          <w:rFonts w:ascii="Arial" w:eastAsia="Times New Roman" w:hAnsi="Arial" w:cs="Arial"/>
          <w:color w:val="212121"/>
          <w:lang w:eastAsia="hr-HR"/>
        </w:rPr>
        <w:t>), </w:t>
      </w:r>
    </w:p>
    <w:p w:rsidR="00B7438A" w:rsidRPr="00B7438A" w:rsidRDefault="00B7438A" w:rsidP="00B7438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Arial" w:eastAsia="Times New Roman" w:hAnsi="Arial" w:cs="Arial"/>
          <w:color w:val="212121"/>
          <w:lang w:eastAsia="hr-HR"/>
        </w:rPr>
        <w:t> </w:t>
      </w:r>
    </w:p>
    <w:p w:rsidR="00B7438A" w:rsidRPr="00B7438A" w:rsidRDefault="00B7438A" w:rsidP="00B7438A">
      <w:pPr>
        <w:shd w:val="clear" w:color="auto" w:fill="FFFFFF"/>
        <w:spacing w:after="0" w:line="240" w:lineRule="auto"/>
        <w:ind w:hanging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Symbol" w:eastAsia="Times New Roman" w:hAnsi="Symbol" w:cs="Times New Roman"/>
          <w:color w:val="212121"/>
          <w:lang w:eastAsia="hr-HR"/>
        </w:rPr>
        <w:t>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Symbol" w:eastAsia="Times New Roman" w:hAnsi="Symbol" w:cs="Times New Roman"/>
          <w:color w:val="212121"/>
          <w:sz w:val="24"/>
          <w:szCs w:val="24"/>
          <w:lang w:eastAsia="hr-HR"/>
        </w:rPr>
        <w:t></w:t>
      </w:r>
      <w:r w:rsidRPr="00B7438A">
        <w:rPr>
          <w:rFonts w:ascii="Arial" w:eastAsia="Times New Roman" w:hAnsi="Arial" w:cs="Arial"/>
          <w:color w:val="212121"/>
          <w:lang w:eastAsia="hr-HR"/>
        </w:rPr>
        <w:t>ako podaci o solventnosti iz obrasca BON-2/SOL-2 nisu zadovoljavajući (stanje sredstava na računu, ukupan iznos primitaka u korist računa u prethodnih 30 dana, prosječno stanje sredstava na računu u prethodnih 30 dana, iznos evidentiranih nepodmirenih obveza, broj dana neprekidne blokade računa i broj dana blokade računa u proteklih 6 mjeseci).</w:t>
      </w:r>
    </w:p>
    <w:p w:rsidR="00FB010C" w:rsidRDefault="00FB010C"/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Prijava djelatnosti i registracija malih proizvođača vina, malih proizvođača jakog alkoholnog pića i proizvođača iz članka 69. Zakona te godišnje izvješćivanje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Članak 75.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(1) Mali proizvođači vina, mali proizvođači jakog alkoholnog pića i proizvođači iz članka 69. Zakona obvezni su prijavu za upis u registar trošarinskih obveznika podnijeti carinskom uredu nadležnom prema svome sjedištu, odnosno prebivalištu, i to najkasnije osam dana prije početka proizvodnje na Obrascu PUR.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(2) Mali proizvođači vina podnose pisanu prijavu za upis u registar trošarinskih obveznika u tri primjerka na Obrascu PUR te, uz priloge prema članku 60. stavku 3. ovoga Pravilnika, dostavljaju: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1. podatak o mjestu proizvodnje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2. podatak o očekivanoj količini proizvodnje vina u kalendarskoj godini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3. podatak o površini vinograda u hektarima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lastRenderedPageBreak/>
        <w:t>4. potvrdu nadležnog tijela da je upisan u odgovarajući upisnik sukladno posebnim propisima i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5. potvrdu da zadovoljava minimalno tehničko-tehnološke uvjete za proizvodnju vina propisane posebnim propisima.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(3) Mali proizvođači jakog alkoholnog pića podnose pisanu prijavu za upis u registar trošarinskih obveznika u tri primjerka na Obrascu PUR te dostavljaju podatak o mjestu proizvodnje i podatak o volumenu uređaja za proizvodnju alkohola – kotla kojeg ima u vlasništvu, odnosno uporabi.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(4) Proizvođači iz članka 69. Zakona podnose uporabom sustava elektroničke razmjene podataka prijavu za upis u registar trošarinskih obveznika koristeći elektronički Obrazac PUR te, uz priloge prema članku 60. stavku 3. ovoga Pravilnika, dostavljaju: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1. podatak o mjestu proizvodnje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2. podatak o očekivanoj količini proizvodnje trošarinskih proizvoda u kalendarskoj godini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3. potvrdu nadležnog tijela da zadovoljava minimalno tehničko-tehnološke uvjete za proizvodnju alkohola i alkoholnih pića propisanu posebnim propisima i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4. ispravu državnog tijela nadležnog za mjeriteljstvo o udovoljavanju mjeriteljskim zahtjevima, odnosno ispunjenju propisanih uvjeta.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(5) Prijava za upis u registar trošarinskih obveznika ovjerena ili verificirana elektroničkim putem od strane ovlaštenog službenika nadležnog carinskog ureda smatrati će se ovlaštenjem za rad malom proizvođaču vina, malom proizvođaču jakog alkoholnog pića i proizvođaču iz članka 69. Zakona, s danom upisa u registar trošarinskih obveznika.</w:t>
      </w:r>
    </w:p>
    <w:p w:rsidR="00B7438A" w:rsidRPr="00B7438A" w:rsidRDefault="00B7438A" w:rsidP="00B7438A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B7438A">
        <w:rPr>
          <w:rFonts w:ascii="Calibri" w:eastAsia="Times New Roman" w:hAnsi="Calibri" w:cs="Times New Roman"/>
          <w:color w:val="666666"/>
          <w:sz w:val="21"/>
          <w:szCs w:val="21"/>
          <w:lang w:eastAsia="hr-HR"/>
        </w:rPr>
        <w:t>(6) Mali proizvođači vina, mali proizvođači jakog alkoholnog pića i proizvođači iz članka 69. Zakona obvezni su nadležnom carinskom uredu prijaviti svaku izmjenu podataka navedenu prilikom prijave u registar trošarinskih obveznika, kao i prestanak djelatnosti zbog koje su upisani u registar trošarinskih obveznika u roku od osam dana od dana nastanka promjene, odnosno od dana saznanja za izvršenu promjenu.</w:t>
      </w:r>
    </w:p>
    <w:p w:rsidR="00B7438A" w:rsidRDefault="00B7438A"/>
    <w:sectPr w:rsidR="00B7438A" w:rsidSect="00FB0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8A"/>
    <w:rsid w:val="009C115A"/>
    <w:rsid w:val="00B7438A"/>
    <w:rsid w:val="00FB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F6E599-D579-44EC-B335-EA765904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7438A"/>
  </w:style>
  <w:style w:type="character" w:styleId="Hyperlink">
    <w:name w:val="Hyperlink"/>
    <w:basedOn w:val="DefaultParagraphFont"/>
    <w:uiPriority w:val="99"/>
    <w:semiHidden/>
    <w:unhideWhenUsed/>
    <w:rsid w:val="00B74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9001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3442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0615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6534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2996">
          <w:marLeft w:val="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5913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2594">
          <w:marLeft w:val="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40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4268">
          <w:marLeft w:val="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5613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2438">
          <w:marLeft w:val="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479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17743">
          <w:marLeft w:val="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7766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2873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1172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356">
          <w:marLeft w:val="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4093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390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453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6473">
          <w:marLeft w:val="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389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387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7776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512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0223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058">
          <w:marLeft w:val="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5191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1385">
          <w:marLeft w:val="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9972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7686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441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951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2896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1766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0022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854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612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4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61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4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18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69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3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84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0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26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2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34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84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55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7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11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6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na.hr/Default.aspx?sec=1278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Roberta</cp:lastModifiedBy>
  <cp:revision>2</cp:revision>
  <dcterms:created xsi:type="dcterms:W3CDTF">2017-01-30T15:26:00Z</dcterms:created>
  <dcterms:modified xsi:type="dcterms:W3CDTF">2017-01-30T15:26:00Z</dcterms:modified>
</cp:coreProperties>
</file>